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0481" w14:textId="77777777" w:rsidR="00BA1F65" w:rsidRPr="00403F65" w:rsidRDefault="00BA1F65" w:rsidP="005547C5">
      <w:pPr>
        <w:pStyle w:val="Heading1"/>
        <w:spacing w:line="240" w:lineRule="auto"/>
        <w:rPr>
          <w:rFonts w:ascii="Aptos" w:hAnsi="Aptos"/>
        </w:rPr>
      </w:pPr>
      <w:r w:rsidRPr="00403F65">
        <w:rPr>
          <w:rFonts w:ascii="Aptos" w:hAnsi="Aptos"/>
        </w:rPr>
        <w:t>PAS 7050: annex B</w:t>
      </w:r>
      <w:r w:rsidR="00B44500" w:rsidRPr="00403F65">
        <w:rPr>
          <w:rFonts w:ascii="Aptos" w:hAnsi="Aptos"/>
        </w:rPr>
        <w:t xml:space="preserve"> - manufacturers</w:t>
      </w:r>
    </w:p>
    <w:p w14:paraId="58E3B728" w14:textId="77777777" w:rsidR="002745A1" w:rsidRPr="00403F65" w:rsidRDefault="002745A1" w:rsidP="005547C5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2534"/>
        <w:gridCol w:w="2848"/>
        <w:gridCol w:w="2625"/>
        <w:gridCol w:w="1009"/>
      </w:tblGrid>
      <w:tr w:rsidR="002745A1" w:rsidRPr="00403F65" w14:paraId="06E515FF" w14:textId="77777777" w:rsidTr="00C53878">
        <w:trPr>
          <w:tblHeader/>
        </w:trPr>
        <w:tc>
          <w:tcPr>
            <w:tcW w:w="2534" w:type="dxa"/>
            <w:shd w:val="clear" w:color="auto" w:fill="AEAAAA" w:themeFill="background2" w:themeFillShade="BF"/>
          </w:tcPr>
          <w:p w14:paraId="32F661C2" w14:textId="77777777" w:rsidR="002745A1" w:rsidRPr="00403F65" w:rsidRDefault="002745A1" w:rsidP="00170A74">
            <w:pPr>
              <w:jc w:val="center"/>
              <w:rPr>
                <w:rFonts w:ascii="Aptos" w:hAnsi="Aptos"/>
                <w:b/>
                <w:bCs/>
              </w:rPr>
            </w:pPr>
            <w:r w:rsidRPr="00403F65">
              <w:rPr>
                <w:rFonts w:ascii="Aptos" w:hAnsi="Aptos"/>
                <w:b/>
                <w:bCs/>
              </w:rPr>
              <w:t>Recommendation (with relevant clause number indicated)</w:t>
            </w:r>
          </w:p>
        </w:tc>
        <w:tc>
          <w:tcPr>
            <w:tcW w:w="2848" w:type="dxa"/>
            <w:shd w:val="clear" w:color="auto" w:fill="AEAAAA" w:themeFill="background2" w:themeFillShade="BF"/>
          </w:tcPr>
          <w:p w14:paraId="31111C5B" w14:textId="77777777" w:rsidR="002745A1" w:rsidRPr="00403F65" w:rsidRDefault="002745A1" w:rsidP="00170A74">
            <w:pPr>
              <w:jc w:val="center"/>
              <w:rPr>
                <w:rFonts w:ascii="Aptos" w:hAnsi="Aptos"/>
                <w:b/>
                <w:bCs/>
              </w:rPr>
            </w:pPr>
            <w:r w:rsidRPr="00403F65">
              <w:rPr>
                <w:rFonts w:ascii="Aptos" w:hAnsi="Aptos"/>
                <w:b/>
                <w:bCs/>
              </w:rPr>
              <w:t>Indicators</w:t>
            </w:r>
          </w:p>
        </w:tc>
        <w:tc>
          <w:tcPr>
            <w:tcW w:w="2625" w:type="dxa"/>
            <w:shd w:val="clear" w:color="auto" w:fill="AEAAAA" w:themeFill="background2" w:themeFillShade="BF"/>
          </w:tcPr>
          <w:p w14:paraId="78799078" w14:textId="77777777" w:rsidR="002745A1" w:rsidRPr="00403F65" w:rsidRDefault="002745A1" w:rsidP="00170A74">
            <w:pPr>
              <w:jc w:val="center"/>
              <w:rPr>
                <w:rFonts w:ascii="Aptos" w:hAnsi="Aptos"/>
                <w:b/>
                <w:bCs/>
              </w:rPr>
            </w:pPr>
            <w:r w:rsidRPr="00403F65">
              <w:rPr>
                <w:rFonts w:ascii="Aptos" w:hAnsi="Aptos"/>
                <w:b/>
                <w:bCs/>
              </w:rPr>
              <w:t>Observations</w:t>
            </w:r>
          </w:p>
        </w:tc>
        <w:tc>
          <w:tcPr>
            <w:tcW w:w="1009" w:type="dxa"/>
            <w:shd w:val="clear" w:color="auto" w:fill="AEAAAA" w:themeFill="background2" w:themeFillShade="BF"/>
          </w:tcPr>
          <w:p w14:paraId="6AA83B62" w14:textId="77777777" w:rsidR="002745A1" w:rsidRPr="00403F65" w:rsidRDefault="002745A1" w:rsidP="00170A74">
            <w:pPr>
              <w:jc w:val="center"/>
              <w:rPr>
                <w:rFonts w:ascii="Aptos" w:hAnsi="Aptos"/>
                <w:b/>
                <w:bCs/>
              </w:rPr>
            </w:pPr>
            <w:r w:rsidRPr="00403F65">
              <w:rPr>
                <w:rFonts w:ascii="Aptos" w:hAnsi="Aptos"/>
                <w:b/>
                <w:bCs/>
              </w:rPr>
              <w:t>Met</w:t>
            </w:r>
          </w:p>
          <w:p w14:paraId="52FB1F1A" w14:textId="77777777" w:rsidR="002745A1" w:rsidRPr="00403F65" w:rsidRDefault="002745A1" w:rsidP="00170A74">
            <w:pPr>
              <w:jc w:val="center"/>
              <w:rPr>
                <w:rFonts w:ascii="Aptos" w:hAnsi="Aptos"/>
                <w:b/>
                <w:bCs/>
              </w:rPr>
            </w:pPr>
            <w:r w:rsidRPr="00403F65">
              <w:rPr>
                <w:rFonts w:ascii="Aptos" w:hAnsi="Aptos"/>
                <w:b/>
                <w:bCs/>
              </w:rPr>
              <w:t>Y/N/NA</w:t>
            </w:r>
          </w:p>
        </w:tc>
      </w:tr>
      <w:tr w:rsidR="002745A1" w:rsidRPr="00403F65" w14:paraId="64B96AFB" w14:textId="77777777" w:rsidTr="009B4B02">
        <w:tc>
          <w:tcPr>
            <w:tcW w:w="2534" w:type="dxa"/>
            <w:vMerge w:val="restart"/>
          </w:tcPr>
          <w:p w14:paraId="1D897A2E" w14:textId="77777777" w:rsidR="002745A1" w:rsidRPr="00403F65" w:rsidRDefault="002745A1" w:rsidP="00170A74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Variability (4.8.1)</w:t>
            </w:r>
          </w:p>
        </w:tc>
        <w:tc>
          <w:tcPr>
            <w:tcW w:w="2848" w:type="dxa"/>
          </w:tcPr>
          <w:p w14:paraId="3E21066F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Risks from manufacturing variation taken into account in product design</w:t>
            </w:r>
          </w:p>
        </w:tc>
        <w:tc>
          <w:tcPr>
            <w:tcW w:w="2625" w:type="dxa"/>
          </w:tcPr>
          <w:p w14:paraId="1400B45B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</w:tcPr>
          <w:p w14:paraId="7A13CD57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6875CDC3" w14:textId="77777777" w:rsidTr="009B4B02">
        <w:tc>
          <w:tcPr>
            <w:tcW w:w="2534" w:type="dxa"/>
            <w:vMerge/>
          </w:tcPr>
          <w:p w14:paraId="3849FA13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2848" w:type="dxa"/>
          </w:tcPr>
          <w:p w14:paraId="090B6B0B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Safety critical process control limits in place</w:t>
            </w:r>
          </w:p>
        </w:tc>
        <w:tc>
          <w:tcPr>
            <w:tcW w:w="2625" w:type="dxa"/>
          </w:tcPr>
          <w:p w14:paraId="16164B0F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</w:tcPr>
          <w:p w14:paraId="704A2B8E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608082A1" w14:textId="77777777" w:rsidTr="009B4B02">
        <w:tc>
          <w:tcPr>
            <w:tcW w:w="2534" w:type="dxa"/>
            <w:vMerge/>
          </w:tcPr>
          <w:p w14:paraId="0A639054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2848" w:type="dxa"/>
          </w:tcPr>
          <w:p w14:paraId="28A49BDE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Process in place to monitor limits not exceeded</w:t>
            </w:r>
          </w:p>
        </w:tc>
        <w:tc>
          <w:tcPr>
            <w:tcW w:w="2625" w:type="dxa"/>
          </w:tcPr>
          <w:p w14:paraId="4DFC53B6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</w:tcPr>
          <w:p w14:paraId="64245291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0BDE5E1E" w14:textId="77777777" w:rsidTr="009B4B02">
        <w:tc>
          <w:tcPr>
            <w:tcW w:w="2534" w:type="dxa"/>
            <w:vMerge/>
          </w:tcPr>
          <w:p w14:paraId="3D20414A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2848" w:type="dxa"/>
          </w:tcPr>
          <w:p w14:paraId="197595D1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Risks from potential failure taken into account in product design</w:t>
            </w:r>
          </w:p>
        </w:tc>
        <w:tc>
          <w:tcPr>
            <w:tcW w:w="2625" w:type="dxa"/>
          </w:tcPr>
          <w:p w14:paraId="4F0135E9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</w:tcPr>
          <w:p w14:paraId="7C7E1451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709BC3B7" w14:textId="77777777" w:rsidTr="009B4B02">
        <w:tc>
          <w:tcPr>
            <w:tcW w:w="2534" w:type="dxa"/>
            <w:vMerge w:val="restart"/>
            <w:shd w:val="clear" w:color="auto" w:fill="E7E6E6" w:themeFill="background2"/>
          </w:tcPr>
          <w:p w14:paraId="6CCD4D95" w14:textId="77777777" w:rsidR="002745A1" w:rsidRPr="00403F65" w:rsidRDefault="002745A1" w:rsidP="00170A74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Process control and monitoring (4.8.2)</w:t>
            </w:r>
          </w:p>
        </w:tc>
        <w:tc>
          <w:tcPr>
            <w:tcW w:w="2848" w:type="dxa"/>
            <w:shd w:val="clear" w:color="auto" w:fill="E7E6E6" w:themeFill="background2"/>
          </w:tcPr>
          <w:p w14:paraId="1B263F2C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All critical control points identified and monitored</w:t>
            </w:r>
          </w:p>
        </w:tc>
        <w:tc>
          <w:tcPr>
            <w:tcW w:w="2625" w:type="dxa"/>
            <w:shd w:val="clear" w:color="auto" w:fill="E7E6E6" w:themeFill="background2"/>
          </w:tcPr>
          <w:p w14:paraId="25524025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  <w:shd w:val="clear" w:color="auto" w:fill="E7E6E6" w:themeFill="background2"/>
          </w:tcPr>
          <w:p w14:paraId="5F739804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1977D0F1" w14:textId="77777777" w:rsidTr="009B4B02">
        <w:tc>
          <w:tcPr>
            <w:tcW w:w="2534" w:type="dxa"/>
            <w:vMerge/>
            <w:shd w:val="clear" w:color="auto" w:fill="E7E6E6" w:themeFill="background2"/>
          </w:tcPr>
          <w:p w14:paraId="22B043C3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2848" w:type="dxa"/>
            <w:shd w:val="clear" w:color="auto" w:fill="E7E6E6" w:themeFill="background2"/>
          </w:tcPr>
          <w:p w14:paraId="5F24421D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Risk-based testing programme in place</w:t>
            </w:r>
          </w:p>
        </w:tc>
        <w:tc>
          <w:tcPr>
            <w:tcW w:w="2625" w:type="dxa"/>
            <w:shd w:val="clear" w:color="auto" w:fill="E7E6E6" w:themeFill="background2"/>
          </w:tcPr>
          <w:p w14:paraId="0D094E2C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  <w:shd w:val="clear" w:color="auto" w:fill="E7E6E6" w:themeFill="background2"/>
          </w:tcPr>
          <w:p w14:paraId="39089639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0D00159B" w14:textId="77777777" w:rsidTr="009B4B02">
        <w:tc>
          <w:tcPr>
            <w:tcW w:w="2534" w:type="dxa"/>
            <w:vMerge/>
            <w:shd w:val="clear" w:color="auto" w:fill="E7E6E6" w:themeFill="background2"/>
          </w:tcPr>
          <w:p w14:paraId="249764ED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2848" w:type="dxa"/>
            <w:shd w:val="clear" w:color="auto" w:fill="E7E6E6" w:themeFill="background2"/>
          </w:tcPr>
          <w:p w14:paraId="5F07947D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Batch approval process in place</w:t>
            </w:r>
          </w:p>
        </w:tc>
        <w:tc>
          <w:tcPr>
            <w:tcW w:w="2625" w:type="dxa"/>
            <w:shd w:val="clear" w:color="auto" w:fill="E7E6E6" w:themeFill="background2"/>
          </w:tcPr>
          <w:p w14:paraId="40D868AF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  <w:shd w:val="clear" w:color="auto" w:fill="E7E6E6" w:themeFill="background2"/>
          </w:tcPr>
          <w:p w14:paraId="4934E348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35D765E4" w14:textId="77777777" w:rsidTr="009B4B02">
        <w:tc>
          <w:tcPr>
            <w:tcW w:w="2534" w:type="dxa"/>
            <w:vMerge w:val="restart"/>
          </w:tcPr>
          <w:p w14:paraId="5749839E" w14:textId="77777777" w:rsidR="002745A1" w:rsidRPr="00403F65" w:rsidRDefault="002745A1" w:rsidP="00170A74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Authorisation of product, component and process changes (4.8.3)</w:t>
            </w:r>
          </w:p>
        </w:tc>
        <w:tc>
          <w:tcPr>
            <w:tcW w:w="2848" w:type="dxa"/>
          </w:tcPr>
          <w:p w14:paraId="3A4B39F6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Safety of design to be subject to regular review</w:t>
            </w:r>
          </w:p>
        </w:tc>
        <w:tc>
          <w:tcPr>
            <w:tcW w:w="2625" w:type="dxa"/>
          </w:tcPr>
          <w:p w14:paraId="72FB6BFB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</w:tcPr>
          <w:p w14:paraId="326A5F51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5DABA4E4" w14:textId="77777777" w:rsidTr="009B4B02">
        <w:tc>
          <w:tcPr>
            <w:tcW w:w="2534" w:type="dxa"/>
            <w:vMerge/>
          </w:tcPr>
          <w:p w14:paraId="236CAFE6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2848" w:type="dxa"/>
          </w:tcPr>
          <w:p w14:paraId="1BA4DCC1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Responsibility allocated for authorisation of changes</w:t>
            </w:r>
          </w:p>
        </w:tc>
        <w:tc>
          <w:tcPr>
            <w:tcW w:w="2625" w:type="dxa"/>
          </w:tcPr>
          <w:p w14:paraId="1EB5958F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</w:tcPr>
          <w:p w14:paraId="37374054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5E8D10B7" w14:textId="77777777" w:rsidTr="009B4B02">
        <w:tc>
          <w:tcPr>
            <w:tcW w:w="2534" w:type="dxa"/>
            <w:vMerge w:val="restart"/>
            <w:shd w:val="clear" w:color="auto" w:fill="E7E6E6" w:themeFill="background2"/>
          </w:tcPr>
          <w:p w14:paraId="1CE19885" w14:textId="77777777" w:rsidR="002745A1" w:rsidRPr="00403F65" w:rsidRDefault="002745A1" w:rsidP="00170A74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Post-production handling (4.8.4)</w:t>
            </w:r>
          </w:p>
        </w:tc>
        <w:tc>
          <w:tcPr>
            <w:tcW w:w="2848" w:type="dxa"/>
            <w:shd w:val="clear" w:color="auto" w:fill="E7E6E6" w:themeFill="background2"/>
          </w:tcPr>
          <w:p w14:paraId="15A4EA0E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Policies and processes for packaging to protect product in place</w:t>
            </w:r>
          </w:p>
        </w:tc>
        <w:tc>
          <w:tcPr>
            <w:tcW w:w="2625" w:type="dxa"/>
            <w:shd w:val="clear" w:color="auto" w:fill="E7E6E6" w:themeFill="background2"/>
          </w:tcPr>
          <w:p w14:paraId="72B3D65A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  <w:shd w:val="clear" w:color="auto" w:fill="E7E6E6" w:themeFill="background2"/>
          </w:tcPr>
          <w:p w14:paraId="78332E88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2D3A2C68" w14:textId="77777777" w:rsidTr="009B4B02">
        <w:tc>
          <w:tcPr>
            <w:tcW w:w="2534" w:type="dxa"/>
            <w:vMerge/>
            <w:shd w:val="clear" w:color="auto" w:fill="E7E6E6" w:themeFill="background2"/>
          </w:tcPr>
          <w:p w14:paraId="64C71951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2848" w:type="dxa"/>
            <w:shd w:val="clear" w:color="auto" w:fill="E7E6E6" w:themeFill="background2"/>
          </w:tcPr>
          <w:p w14:paraId="4523144A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Evidence of drop tests</w:t>
            </w:r>
            <w:r w:rsidR="00071D25" w:rsidRPr="00403F65">
              <w:rPr>
                <w:rFonts w:ascii="Aptos" w:hAnsi="Aptos"/>
              </w:rPr>
              <w:t xml:space="preserve"> /</w:t>
            </w:r>
            <w:r w:rsidRPr="00403F65">
              <w:rPr>
                <w:rFonts w:ascii="Aptos" w:hAnsi="Aptos"/>
              </w:rPr>
              <w:t xml:space="preserve"> transit trials etc available</w:t>
            </w:r>
          </w:p>
        </w:tc>
        <w:tc>
          <w:tcPr>
            <w:tcW w:w="2625" w:type="dxa"/>
            <w:shd w:val="clear" w:color="auto" w:fill="E7E6E6" w:themeFill="background2"/>
          </w:tcPr>
          <w:p w14:paraId="6DCE28E1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  <w:shd w:val="clear" w:color="auto" w:fill="E7E6E6" w:themeFill="background2"/>
          </w:tcPr>
          <w:p w14:paraId="19034351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27F2DDBC" w14:textId="77777777" w:rsidTr="009B4B02">
        <w:tc>
          <w:tcPr>
            <w:tcW w:w="2534" w:type="dxa"/>
            <w:vMerge w:val="restart"/>
          </w:tcPr>
          <w:p w14:paraId="2BC64B2E" w14:textId="77777777" w:rsidR="002745A1" w:rsidRPr="00403F65" w:rsidRDefault="002745A1" w:rsidP="00170A74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Safety throughout the product life cycle (4.12)</w:t>
            </w:r>
          </w:p>
        </w:tc>
        <w:tc>
          <w:tcPr>
            <w:tcW w:w="2848" w:type="dxa"/>
          </w:tcPr>
          <w:p w14:paraId="713EDC6E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 xml:space="preserve">Products designed to fail safely </w:t>
            </w:r>
          </w:p>
        </w:tc>
        <w:tc>
          <w:tcPr>
            <w:tcW w:w="2625" w:type="dxa"/>
          </w:tcPr>
          <w:p w14:paraId="139B550F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</w:tcPr>
          <w:p w14:paraId="491AE5E8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  <w:tr w:rsidR="002745A1" w:rsidRPr="00403F65" w14:paraId="75376F9B" w14:textId="77777777" w:rsidTr="009B4B02">
        <w:tc>
          <w:tcPr>
            <w:tcW w:w="2534" w:type="dxa"/>
            <w:vMerge/>
          </w:tcPr>
          <w:p w14:paraId="2B3130B7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2848" w:type="dxa"/>
          </w:tcPr>
          <w:p w14:paraId="1926B7E5" w14:textId="77777777" w:rsidR="002745A1" w:rsidRPr="00403F65" w:rsidRDefault="002745A1" w:rsidP="009B4B02">
            <w:pPr>
              <w:rPr>
                <w:rFonts w:ascii="Aptos" w:hAnsi="Aptos"/>
              </w:rPr>
            </w:pPr>
            <w:r w:rsidRPr="00403F65">
              <w:rPr>
                <w:rFonts w:ascii="Aptos" w:hAnsi="Aptos"/>
              </w:rPr>
              <w:t>Design addresses safety aspects of refurbishment, reuse, recycling and disposal</w:t>
            </w:r>
          </w:p>
        </w:tc>
        <w:tc>
          <w:tcPr>
            <w:tcW w:w="2625" w:type="dxa"/>
          </w:tcPr>
          <w:p w14:paraId="7D6996BE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  <w:tc>
          <w:tcPr>
            <w:tcW w:w="1009" w:type="dxa"/>
          </w:tcPr>
          <w:p w14:paraId="56C8ECF6" w14:textId="77777777" w:rsidR="002745A1" w:rsidRPr="00403F65" w:rsidRDefault="002745A1" w:rsidP="00170A74">
            <w:pPr>
              <w:rPr>
                <w:rFonts w:ascii="Aptos" w:hAnsi="Aptos"/>
              </w:rPr>
            </w:pPr>
          </w:p>
        </w:tc>
      </w:tr>
    </w:tbl>
    <w:p w14:paraId="6AC19022" w14:textId="77777777" w:rsidR="00896BF0" w:rsidRPr="00403F65" w:rsidRDefault="00896BF0" w:rsidP="002745A1">
      <w:pPr>
        <w:rPr>
          <w:rFonts w:ascii="Aptos" w:hAnsi="Aptos"/>
        </w:rPr>
      </w:pPr>
    </w:p>
    <w:sectPr w:rsidR="00896BF0" w:rsidRPr="00403F65" w:rsidSect="002745A1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0A"/>
    <w:rsid w:val="00071D25"/>
    <w:rsid w:val="002745A1"/>
    <w:rsid w:val="00307ADF"/>
    <w:rsid w:val="00403F65"/>
    <w:rsid w:val="00493C0A"/>
    <w:rsid w:val="005547C5"/>
    <w:rsid w:val="005D5048"/>
    <w:rsid w:val="00662316"/>
    <w:rsid w:val="00841664"/>
    <w:rsid w:val="00896BF0"/>
    <w:rsid w:val="008D1B48"/>
    <w:rsid w:val="009B4B02"/>
    <w:rsid w:val="00B44500"/>
    <w:rsid w:val="00BA1F65"/>
    <w:rsid w:val="00C5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9DF7"/>
  <w15:chartTrackingRefBased/>
  <w15:docId w15:val="{9DA81EFB-33D9-40A9-BDE5-8C0193DF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F65"/>
    <w:pPr>
      <w:keepNext/>
      <w:keepLines/>
      <w:spacing w:before="240" w:after="0" w:line="256" w:lineRule="auto"/>
      <w:outlineLvl w:val="0"/>
    </w:pPr>
    <w:rPr>
      <w:rFonts w:ascii="Calibri" w:eastAsiaTheme="majorEastAsia" w:hAnsi="Calibri" w:cs="Calibri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F65"/>
    <w:rPr>
      <w:rFonts w:ascii="Calibri" w:eastAsiaTheme="majorEastAsia" w:hAnsi="Calibri" w:cs="Calibri"/>
      <w:b/>
      <w:bCs/>
      <w:sz w:val="44"/>
      <w:szCs w:val="44"/>
    </w:rPr>
  </w:style>
  <w:style w:type="table" w:styleId="TableGrid">
    <w:name w:val="Table Grid"/>
    <w:basedOn w:val="TableNormal"/>
    <w:uiPriority w:val="39"/>
    <w:rsid w:val="0027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7050: annex B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7050: annex B</dc:title>
  <dc:subject/>
  <dc:creator>Office for Product Safety and Standards / BSI</dc:creator>
  <cp:keywords/>
  <dc:description/>
  <cp:lastModifiedBy>Stephen Conway</cp:lastModifiedBy>
  <cp:revision>12</cp:revision>
  <dcterms:created xsi:type="dcterms:W3CDTF">2023-01-25T18:05:00Z</dcterms:created>
  <dcterms:modified xsi:type="dcterms:W3CDTF">2025-04-15T08:22:00Z</dcterms:modified>
</cp:coreProperties>
</file>